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72A7">
        <w:trPr>
          <w:trHeight w:hRule="exact" w:val="1528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9572A7">
        <w:trPr>
          <w:trHeight w:hRule="exact" w:val="138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  <w:tc>
          <w:tcPr>
            <w:tcW w:w="2836" w:type="dxa"/>
          </w:tcPr>
          <w:p w:rsidR="009572A7" w:rsidRDefault="009572A7"/>
        </w:tc>
      </w:tr>
      <w:tr w:rsidR="009572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72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572A7">
        <w:trPr>
          <w:trHeight w:hRule="exact" w:val="211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  <w:tc>
          <w:tcPr>
            <w:tcW w:w="2836" w:type="dxa"/>
          </w:tcPr>
          <w:p w:rsidR="009572A7" w:rsidRDefault="009572A7"/>
        </w:tc>
      </w:tr>
      <w:tr w:rsidR="009572A7">
        <w:trPr>
          <w:trHeight w:hRule="exact" w:val="277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72A7">
        <w:trPr>
          <w:trHeight w:hRule="exact" w:val="972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572A7" w:rsidRDefault="00957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72A7">
        <w:trPr>
          <w:trHeight w:hRule="exact" w:val="277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572A7">
        <w:trPr>
          <w:trHeight w:hRule="exact" w:val="277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  <w:tc>
          <w:tcPr>
            <w:tcW w:w="2836" w:type="dxa"/>
          </w:tcPr>
          <w:p w:rsidR="009572A7" w:rsidRDefault="009572A7"/>
        </w:tc>
      </w:tr>
      <w:tr w:rsidR="009572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72A7">
        <w:trPr>
          <w:trHeight w:hRule="exact" w:val="1135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политика организации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9572A7" w:rsidRDefault="009572A7"/>
        </w:tc>
      </w:tr>
      <w:tr w:rsidR="009572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72A7">
        <w:trPr>
          <w:trHeight w:hRule="exact" w:val="1111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72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572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  <w:tc>
          <w:tcPr>
            <w:tcW w:w="2836" w:type="dxa"/>
          </w:tcPr>
          <w:p w:rsidR="009572A7" w:rsidRDefault="009572A7"/>
        </w:tc>
      </w:tr>
      <w:tr w:rsidR="009572A7">
        <w:trPr>
          <w:trHeight w:hRule="exact" w:val="155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  <w:tc>
          <w:tcPr>
            <w:tcW w:w="2836" w:type="dxa"/>
          </w:tcPr>
          <w:p w:rsidR="009572A7" w:rsidRDefault="009572A7"/>
        </w:tc>
      </w:tr>
      <w:tr w:rsidR="009572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572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572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9572A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72A7" w:rsidRDefault="009572A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</w:tr>
      <w:tr w:rsidR="009572A7">
        <w:trPr>
          <w:trHeight w:hRule="exact" w:val="124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  <w:tc>
          <w:tcPr>
            <w:tcW w:w="2836" w:type="dxa"/>
          </w:tcPr>
          <w:p w:rsidR="009572A7" w:rsidRDefault="009572A7"/>
        </w:tc>
      </w:tr>
      <w:tr w:rsidR="009572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9572A7">
        <w:trPr>
          <w:trHeight w:hRule="exact" w:val="577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</w:tr>
      <w:tr w:rsidR="009572A7">
        <w:trPr>
          <w:trHeight w:hRule="exact" w:val="2341"/>
        </w:trPr>
        <w:tc>
          <w:tcPr>
            <w:tcW w:w="143" w:type="dxa"/>
          </w:tcPr>
          <w:p w:rsidR="009572A7" w:rsidRDefault="009572A7"/>
        </w:tc>
        <w:tc>
          <w:tcPr>
            <w:tcW w:w="285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1419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1277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  <w:tc>
          <w:tcPr>
            <w:tcW w:w="2836" w:type="dxa"/>
          </w:tcPr>
          <w:p w:rsidR="009572A7" w:rsidRDefault="009572A7"/>
        </w:tc>
      </w:tr>
      <w:tr w:rsidR="009572A7">
        <w:trPr>
          <w:trHeight w:hRule="exact" w:val="277"/>
        </w:trPr>
        <w:tc>
          <w:tcPr>
            <w:tcW w:w="143" w:type="dxa"/>
          </w:tcPr>
          <w:p w:rsidR="009572A7" w:rsidRDefault="009572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72A7">
        <w:trPr>
          <w:trHeight w:hRule="exact" w:val="138"/>
        </w:trPr>
        <w:tc>
          <w:tcPr>
            <w:tcW w:w="143" w:type="dxa"/>
          </w:tcPr>
          <w:p w:rsidR="009572A7" w:rsidRDefault="009572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</w:tr>
      <w:tr w:rsidR="009572A7">
        <w:trPr>
          <w:trHeight w:hRule="exact" w:val="1666"/>
        </w:trPr>
        <w:tc>
          <w:tcPr>
            <w:tcW w:w="143" w:type="dxa"/>
          </w:tcPr>
          <w:p w:rsidR="009572A7" w:rsidRDefault="009572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572A7" w:rsidRDefault="00957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572A7" w:rsidRDefault="00957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72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572A7" w:rsidRDefault="009572A7">
            <w:pPr>
              <w:spacing w:after="0" w:line="240" w:lineRule="auto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9572A7" w:rsidRDefault="009572A7">
            <w:pPr>
              <w:spacing w:after="0" w:line="240" w:lineRule="auto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572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72A7">
        <w:trPr>
          <w:trHeight w:hRule="exact" w:val="555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72A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политика организации» в течение 2022/2023 учебного года: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К.М.04.ДВ.01.02 «Информационная политика организации».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72A7">
        <w:trPr>
          <w:trHeight w:hRule="exact" w:val="139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«Информационная политика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72A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нальных направлений</w:t>
            </w:r>
          </w:p>
        </w:tc>
      </w:tr>
      <w:tr w:rsidR="00957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>
            <w:pPr>
              <w:spacing w:after="0" w:line="240" w:lineRule="auto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72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нормативные документы системы управления рисками</w:t>
            </w:r>
          </w:p>
        </w:tc>
      </w:tr>
      <w:tr w:rsidR="009572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знать методы установления деловых контактов, связей, отношений с сотрудниками компании, с заинтересованными сторонами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управления рисками, методы проведения интервью с ответственными за риск работниками</w:t>
            </w:r>
          </w:p>
        </w:tc>
      </w:tr>
      <w:tr w:rsidR="009572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9572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проводить интервью с ответственными за риск работниками</w:t>
            </w:r>
          </w:p>
        </w:tc>
      </w:tr>
      <w:tr w:rsidR="009572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владеть навыками оказания помощи сотрудникам в выявлении и оценке новых рисков</w:t>
            </w:r>
          </w:p>
        </w:tc>
      </w:tr>
      <w:tr w:rsidR="009572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ПК-4.17 владеть навыками представления аналитической информации о рисках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 подразделения и ответственным за мероприятия по рискам работникам</w:t>
            </w:r>
          </w:p>
        </w:tc>
      </w:tr>
      <w:tr w:rsidR="009572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рисками</w:t>
            </w:r>
          </w:p>
        </w:tc>
      </w:tr>
      <w:tr w:rsidR="009572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владеть навыками проведения интервью с ответственными за риск работниками</w:t>
            </w:r>
          </w:p>
        </w:tc>
      </w:tr>
      <w:tr w:rsidR="009572A7">
        <w:trPr>
          <w:trHeight w:hRule="exact" w:val="416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572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К.М.04.ДВ.01.02 «Информационная политика организации»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"Методическая и нормативная база системы управления рисками" основной профессиональной образовательной программы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.03.02 Менеджмент.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72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572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9572A7"/>
        </w:tc>
      </w:tr>
      <w:tr w:rsidR="009572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9572A7"/>
        </w:tc>
      </w:tr>
      <w:tr w:rsidR="009572A7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"Эффективная коммуникация в управлении персоналом"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Мотивация и контроль </w:t>
            </w:r>
            <w:r>
              <w:rPr>
                <w:rFonts w:ascii="Times New Roman" w:hAnsi="Times New Roman" w:cs="Times New Roman"/>
                <w:color w:val="000000"/>
              </w:rPr>
              <w:t>эффективности работы сотрудников подразделений в сфере управления рисками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риск-менеджмент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Интегрированный риск-менеджмент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((организационно-управленческая) практика 4)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управления рисками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оценки рисков. Международные стандарты риск- менеджмента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"Эффективная коммуникация в управлени</w:t>
            </w:r>
            <w:r>
              <w:rPr>
                <w:rFonts w:ascii="Times New Roman" w:hAnsi="Times New Roman" w:cs="Times New Roman"/>
                <w:color w:val="000000"/>
              </w:rPr>
              <w:t>и персоналом"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риск-менеджмент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технологии управления рисками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"Интегрированная система управления рисками"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Консалтинг в </w:t>
            </w:r>
            <w:r>
              <w:rPr>
                <w:rFonts w:ascii="Times New Roman" w:hAnsi="Times New Roman" w:cs="Times New Roman"/>
                <w:color w:val="000000"/>
              </w:rPr>
              <w:t>риск-менеджменте</w:t>
            </w:r>
          </w:p>
          <w:p w:rsidR="009572A7" w:rsidRDefault="00D453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9572A7">
        <w:trPr>
          <w:trHeight w:hRule="exact" w:val="138"/>
        </w:trPr>
        <w:tc>
          <w:tcPr>
            <w:tcW w:w="3970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3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</w:tr>
      <w:tr w:rsidR="009572A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9572A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72A7">
        <w:trPr>
          <w:trHeight w:hRule="exact" w:val="138"/>
        </w:trPr>
        <w:tc>
          <w:tcPr>
            <w:tcW w:w="3970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3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</w:tr>
      <w:tr w:rsidR="009572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572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72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2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2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572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572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72A7">
        <w:trPr>
          <w:trHeight w:hRule="exact" w:val="416"/>
        </w:trPr>
        <w:tc>
          <w:tcPr>
            <w:tcW w:w="3970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3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</w:tr>
      <w:tr w:rsidR="009572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9572A7">
        <w:trPr>
          <w:trHeight w:hRule="exact" w:val="277"/>
        </w:trPr>
        <w:tc>
          <w:tcPr>
            <w:tcW w:w="3970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3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</w:tr>
      <w:tr w:rsidR="009572A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9572A7" w:rsidRDefault="00957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72A7">
        <w:trPr>
          <w:trHeight w:hRule="exact" w:val="416"/>
        </w:trPr>
        <w:tc>
          <w:tcPr>
            <w:tcW w:w="3970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1702" w:type="dxa"/>
          </w:tcPr>
          <w:p w:rsidR="009572A7" w:rsidRDefault="009572A7"/>
        </w:tc>
        <w:tc>
          <w:tcPr>
            <w:tcW w:w="426" w:type="dxa"/>
          </w:tcPr>
          <w:p w:rsidR="009572A7" w:rsidRDefault="009572A7"/>
        </w:tc>
        <w:tc>
          <w:tcPr>
            <w:tcW w:w="710" w:type="dxa"/>
          </w:tcPr>
          <w:p w:rsidR="009572A7" w:rsidRDefault="009572A7"/>
        </w:tc>
        <w:tc>
          <w:tcPr>
            <w:tcW w:w="143" w:type="dxa"/>
          </w:tcPr>
          <w:p w:rsidR="009572A7" w:rsidRDefault="009572A7"/>
        </w:tc>
        <w:tc>
          <w:tcPr>
            <w:tcW w:w="993" w:type="dxa"/>
          </w:tcPr>
          <w:p w:rsidR="009572A7" w:rsidRDefault="009572A7"/>
        </w:tc>
      </w:tr>
      <w:tr w:rsidR="009572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72A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2A7" w:rsidRDefault="009572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2A7" w:rsidRDefault="009572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2A7" w:rsidRDefault="009572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2A7" w:rsidRDefault="009572A7"/>
        </w:tc>
      </w:tr>
      <w:tr w:rsidR="009572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информационного процесса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2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выявления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72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72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572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72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2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реагирования на риски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72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72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72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72A7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957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>
            <w:pPr>
              <w:spacing w:after="0" w:line="240" w:lineRule="auto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72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72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информационного процесса управления риском</w:t>
            </w:r>
          </w:p>
        </w:tc>
      </w:tr>
      <w:tr w:rsidR="009572A7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</w:tr>
      <w:tr w:rsidR="009572A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 рисков  в  зависимости  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 влияния  на  проект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(чистые  риски,  возможности,  бизнес-риски).  Ключевые  компетенции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 проекта  по  управлению  рисками  проекта.  Методы  получения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о рисках.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ключевой компетенции руководителя проекта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 проекта,  необходимая  для  повышения  вероятности  и  степени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  положительных  составляющих  и  снижения  вероятности  и  степени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  негативных  составляющих  рисков.  Основные  риски  на  этапе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 объекта.  Разделе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 рисков  на  известные  и  неизвестные.  Методы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 данных  о  рисках  (мозговой  штурм,  метод  Дельфи,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интервьюирование  участников  проекта,  SWOT-  анализ).  Понятие  миграции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рисков. Применения метода Дельфи для идентификации рисков.</w:t>
            </w:r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выявления риска</w:t>
            </w:r>
          </w:p>
        </w:tc>
      </w:tr>
      <w:tr w:rsidR="009572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выявлению риска; опросные листы; структурные диаграммы; карты потоков; прямая инспекция;анализ финансовой и управленческой отчетности.</w:t>
            </w:r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риска</w:t>
            </w:r>
          </w:p>
        </w:tc>
      </w:tr>
      <w:tr w:rsidR="009572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качественного анализа рисков проекта.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анализа рисков проекта.Методы реагирования на риски проекта</w:t>
            </w:r>
          </w:p>
        </w:tc>
      </w:tr>
      <w:tr w:rsidR="009572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72A7">
        <w:trPr>
          <w:trHeight w:hRule="exact" w:val="146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риска</w:t>
            </w:r>
          </w:p>
        </w:tc>
      </w:tr>
      <w:tr w:rsidR="009572A7">
        <w:trPr>
          <w:trHeight w:hRule="exact" w:val="21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3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 знаний  «управление  рисками  проекта».  Группа  процессов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«планирование»,  процесс  «качественный 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рисков». Стороны проекта,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влияют риски. Шкала оценки влияния рисков. Экспертная оценка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риска/  Метод  экспертных  оценок.  Построение  и  ведение  карт  рисков  на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экспертного анализа. Формирование, рассылка экспертам, заполнение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сбор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опросных  листов.  Проблемы  экспертных  оценок.  Составление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структурных  диаграмм.  Карты  потоков.  SWOT-анализ.  Метод  проектов-аналогов. Метод  построения  дерева  событий.  Метод  анализа  уместности затрат.  Применение метода  экспертного  опроса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оценки  риска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проекта.Основные  цели  количественного  анализа  рисков  проекта.  Анализ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чувствительности  проектов.  Основные  инструменты  (анализ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чувствительности,  анализ  ожидаемой  денежной  величины,  метод  Монте-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Карло).</w:t>
            </w:r>
          </w:p>
        </w:tc>
      </w:tr>
      <w:tr w:rsidR="009572A7">
        <w:trPr>
          <w:trHeight w:hRule="exact" w:val="8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управления рисками</w:t>
            </w:r>
          </w:p>
        </w:tc>
      </w:tr>
      <w:tr w:rsidR="009572A7">
        <w:trPr>
          <w:trHeight w:hRule="exact" w:val="21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управления рисками проекта. Основные цели планирования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рисками проекта. Основные разделы плана управления рисками.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плана управления рисками. Управление рисками на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фазах  жизненного  цикла  инвестиционного  проекта.  Организация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риск-менеджмента в компании.</w:t>
            </w:r>
          </w:p>
        </w:tc>
      </w:tr>
      <w:tr w:rsidR="009572A7">
        <w:trPr>
          <w:trHeight w:hRule="exact" w:val="8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реагирования на риски проекта</w:t>
            </w:r>
          </w:p>
        </w:tc>
      </w:tr>
      <w:tr w:rsidR="009572A7">
        <w:trPr>
          <w:trHeight w:hRule="exact" w:val="21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стратегии  реагирования  (уклонение  от  риска,  передача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риска, снижение риска). Действия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реагировании на чистые риски (поиск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альтернативного  решения  срочное  изменение  плана  проекта,  анализ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  рисков,  отслеживание  риска).  Стратегии  реагирования  в  случае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позитивного  риска  (использование  риска,  совместное  использование 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иска,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риска, принятие риска).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Избежание  (предупреждение  потенциального)  риска.  Отказ  от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ненадежных  партнеров  и  рискованных  проектов.  Критерии  допустимого риска. Избежание  риска.  Сокращение  степени  риска.  Разработка  плана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 по  снижению  возможного  ущерба  и  (или)  вероятности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риска. Передача риска. Лимитирование концентрации риска.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 рисков.  Диверсификация  рисков.  Страхование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  рисков  и  его  виды.  Создание  и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резерва непредвиденных расходов и потерь проекта.</w:t>
            </w:r>
          </w:p>
        </w:tc>
      </w:tr>
      <w:tr w:rsidR="009572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>
            <w:pPr>
              <w:spacing w:after="0" w:line="240" w:lineRule="auto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72A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организации» / Кузнецова Е.К.. – Омск: Изд-во Омской гуманитарной академии, 2022.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72A7">
        <w:trPr>
          <w:trHeight w:hRule="exact" w:val="138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я:</w:t>
            </w:r>
          </w:p>
        </w:tc>
      </w:tr>
      <w:tr w:rsidR="009572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9572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https://urait.ru/bcode/457080</w:t>
              </w:r>
            </w:hyperlink>
            <w:r>
              <w:t xml:space="preserve"> 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72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https://urait.ru/bcode/450664</w:t>
              </w:r>
            </w:hyperlink>
            <w:r>
              <w:t xml:space="preserve"> </w:t>
            </w:r>
          </w:p>
        </w:tc>
      </w:tr>
      <w:tr w:rsidR="009572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https://urait.ru/bcode/450164</w:t>
              </w:r>
            </w:hyperlink>
            <w:r>
              <w:t xml:space="preserve"> </w:t>
            </w:r>
          </w:p>
        </w:tc>
      </w:tr>
      <w:tr w:rsidR="009572A7">
        <w:trPr>
          <w:trHeight w:hRule="exact" w:val="277"/>
        </w:trPr>
        <w:tc>
          <w:tcPr>
            <w:tcW w:w="285" w:type="dxa"/>
          </w:tcPr>
          <w:p w:rsidR="009572A7" w:rsidRDefault="009572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72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9572A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9572A7"/>
        </w:tc>
      </w:tr>
      <w:tr w:rsidR="009572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https://urait.ru/bcode/451704</w:t>
              </w:r>
            </w:hyperlink>
            <w:r>
              <w:t xml:space="preserve"> </w:t>
            </w:r>
          </w:p>
        </w:tc>
      </w:tr>
      <w:tr w:rsidR="009572A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978-5-4497-0300-2.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http://www.iprbookshop.ru/89416.html</w:t>
              </w:r>
            </w:hyperlink>
            <w:r>
              <w:t xml:space="preserve"> </w:t>
            </w:r>
          </w:p>
        </w:tc>
      </w:tr>
      <w:tr w:rsidR="009572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сурсов информационно-телекоммуникационной сети «Интернет», необходимых для освоения дисциплины</w:t>
            </w:r>
          </w:p>
        </w:tc>
      </w:tr>
      <w:tr w:rsidR="009572A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72A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современному специалисту общество предъявляет достаточно широкий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материал изучать в течение недели до 2 часов, а готовиться к практическому занятию по дисциплине до 1.5 часов.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лекции, подумать о том, какая может быть тема следующей лекции;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основные понятия и формулы по теме домашнего задания, изучить примеры;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 свои действия и не забывать о содержательной интерпретации.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пользоваться учебниками по учебной дисциплине.</w:t>
            </w:r>
          </w:p>
        </w:tc>
      </w:tr>
      <w:tr w:rsidR="009572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72A7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нтивирус Касперского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572A7" w:rsidRDefault="009572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57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57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57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572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72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572A7">
        <w:trPr>
          <w:trHeight w:hRule="exact" w:val="277"/>
        </w:trPr>
        <w:tc>
          <w:tcPr>
            <w:tcW w:w="9640" w:type="dxa"/>
          </w:tcPr>
          <w:p w:rsidR="009572A7" w:rsidRDefault="009572A7"/>
        </w:tc>
      </w:tr>
      <w:tr w:rsidR="00957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72A7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72A7" w:rsidRDefault="00D45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9572A7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система «Консультант плюс», «Гарант»,</w:t>
            </w:r>
          </w:p>
        </w:tc>
      </w:tr>
    </w:tbl>
    <w:p w:rsidR="009572A7" w:rsidRDefault="00D45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2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9572A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9572A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2A7" w:rsidRDefault="00D4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572A7" w:rsidRDefault="009572A7"/>
    <w:sectPr w:rsidR="009572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572A7"/>
    <w:rsid w:val="00D31453"/>
    <w:rsid w:val="00D453F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3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5016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6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57080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8941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170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17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6358</Words>
  <Characters>36244</Characters>
  <Application>Microsoft Office Word</Application>
  <DocSecurity>0</DocSecurity>
  <Lines>302</Lines>
  <Paragraphs>85</Paragraphs>
  <ScaleCrop>false</ScaleCrop>
  <Company/>
  <LinksUpToDate>false</LinksUpToDate>
  <CharactersWithSpaces>42517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2022-2023_ФГОС3++2022_Бак-ОЗФО-Мен_(ЭиУП)(22)_plx_Информационная политика организации</dc:title>
  <dc:creator>FastReport.NET</dc:creator>
  <cp:lastModifiedBy>Mark Bernstorf</cp:lastModifiedBy>
  <cp:revision>2</cp:revision>
  <dcterms:created xsi:type="dcterms:W3CDTF">2022-11-12T13:36:00Z</dcterms:created>
  <dcterms:modified xsi:type="dcterms:W3CDTF">2022-11-12T13:36:00Z</dcterms:modified>
</cp:coreProperties>
</file>